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71009C" w14:textId="77777777" w:rsidR="00A60FF2" w:rsidRPr="00E545EA" w:rsidRDefault="00A60FF2" w:rsidP="00A60FF2">
      <w:pPr>
        <w:pStyle w:val="NormalWeb"/>
        <w:spacing w:before="0" w:beforeAutospacing="0" w:after="0" w:afterAutospacing="0"/>
        <w:jc w:val="center"/>
        <w:rPr>
          <w:rFonts w:ascii="Open Sans" w:eastAsia="Open Sans Regular" w:hAnsi="Open Sans" w:cs="Open Sans"/>
          <w:bCs/>
          <w:position w:val="1"/>
          <w:sz w:val="44"/>
          <w:szCs w:val="44"/>
          <w:lang w:val="en-GB"/>
        </w:rPr>
      </w:pPr>
      <w:r w:rsidRPr="00E545EA">
        <w:rPr>
          <w:rFonts w:ascii="Open Sans" w:eastAsia="Open Sans Regular" w:hAnsi="Open Sans" w:cs="Open Sans"/>
          <w:bCs/>
          <w:color w:val="00B297"/>
          <w:position w:val="1"/>
          <w:sz w:val="56"/>
          <w:szCs w:val="56"/>
          <w:lang w:val="en-GB"/>
        </w:rPr>
        <w:t>Sphere and Coordination</w:t>
      </w:r>
      <w:r w:rsidRPr="00E545EA">
        <w:rPr>
          <w:rFonts w:ascii="Open Sans" w:eastAsia="Open Sans Regular" w:hAnsi="Open Sans" w:cs="Open Sans"/>
          <w:bCs/>
          <w:color w:val="00B297"/>
          <w:position w:val="1"/>
          <w:sz w:val="44"/>
          <w:szCs w:val="44"/>
          <w:lang w:val="en-GB"/>
        </w:rPr>
        <w:t xml:space="preserve">  </w:t>
      </w:r>
    </w:p>
    <w:p w14:paraId="2D89F184" w14:textId="31BA3ADD" w:rsidR="00A60FF2" w:rsidRPr="00E545EA" w:rsidRDefault="00A60FF2" w:rsidP="00A60FF2">
      <w:pPr>
        <w:pStyle w:val="NormalWeb"/>
        <w:spacing w:before="0" w:beforeAutospacing="0" w:after="0" w:afterAutospacing="0"/>
        <w:jc w:val="center"/>
        <w:rPr>
          <w:rFonts w:ascii="Open Sans" w:hAnsi="Open Sans" w:cs="Open Sans"/>
          <w:lang w:val="en-GB"/>
        </w:rPr>
      </w:pPr>
      <w:r w:rsidRPr="00E545EA">
        <w:rPr>
          <w:rFonts w:ascii="Open Sans" w:eastAsia="Open Sans Regular" w:hAnsi="Open Sans" w:cs="Open Sans"/>
          <w:bCs/>
          <w:position w:val="1"/>
          <w:sz w:val="48"/>
          <w:szCs w:val="48"/>
          <w:lang w:val="en-GB"/>
        </w:rPr>
        <w:t>Quiz</w:t>
      </w:r>
      <w:r w:rsidRPr="00E545EA">
        <w:rPr>
          <w:rFonts w:ascii="Open Sans" w:eastAsia="Open Sans Regular" w:hAnsi="Open Sans" w:cs="Open Sans"/>
          <w:bCs/>
          <w:position w:val="1"/>
          <w:sz w:val="96"/>
          <w:szCs w:val="96"/>
          <w:lang w:val="en-GB"/>
        </w:rPr>
        <w:t xml:space="preserve"> </w:t>
      </w:r>
    </w:p>
    <w:p w14:paraId="0D7CD522" w14:textId="77777777" w:rsidR="00BB5344" w:rsidRPr="00E545EA" w:rsidRDefault="00BB5344" w:rsidP="00733E5D">
      <w:pPr>
        <w:spacing w:after="120"/>
        <w:ind w:left="-450"/>
        <w:rPr>
          <w:rFonts w:ascii="Open Sans" w:eastAsia="Open Sans Regular" w:hAnsi="Open Sans" w:cs="Open Sans"/>
          <w:bCs/>
          <w:position w:val="1"/>
          <w:lang w:val="en-GB"/>
        </w:rPr>
      </w:pPr>
    </w:p>
    <w:p w14:paraId="5567173A" w14:textId="4A658042" w:rsidR="00A60FF2" w:rsidRPr="00E545EA" w:rsidRDefault="00A60FF2" w:rsidP="00733E5D">
      <w:pPr>
        <w:spacing w:after="120"/>
        <w:ind w:left="-450"/>
        <w:rPr>
          <w:rFonts w:ascii="Open Sans" w:eastAsia="Open Sans Regular" w:hAnsi="Open Sans" w:cs="Open Sans"/>
          <w:bCs/>
          <w:position w:val="1"/>
          <w:lang w:val="en-GB"/>
        </w:rPr>
      </w:pPr>
      <w:r w:rsidRPr="00E545EA">
        <w:rPr>
          <w:rFonts w:ascii="Open Sans" w:eastAsia="Open Sans Regular" w:hAnsi="Open Sans" w:cs="Open Sans"/>
          <w:bCs/>
          <w:position w:val="1"/>
          <w:lang w:val="en-GB"/>
        </w:rPr>
        <w:t xml:space="preserve">Are the following statements </w:t>
      </w:r>
      <w:r w:rsidR="00E0178E" w:rsidRPr="00E545EA">
        <w:rPr>
          <w:rFonts w:ascii="Open Sans" w:eastAsia="Open Sans Regular" w:hAnsi="Open Sans" w:cs="Open Sans"/>
          <w:b/>
          <w:bCs/>
          <w:position w:val="1"/>
          <w:lang w:val="en-GB"/>
        </w:rPr>
        <w:t>true</w:t>
      </w:r>
      <w:r w:rsidR="00E0178E" w:rsidRPr="00E545EA">
        <w:rPr>
          <w:rFonts w:ascii="Open Sans" w:eastAsia="Open Sans Regular" w:hAnsi="Open Sans" w:cs="Open Sans"/>
          <w:bCs/>
          <w:position w:val="1"/>
          <w:lang w:val="en-GB"/>
        </w:rPr>
        <w:t xml:space="preserve"> </w:t>
      </w:r>
      <w:r w:rsidRPr="00E545EA">
        <w:rPr>
          <w:rFonts w:ascii="Open Sans" w:eastAsia="Open Sans Regular" w:hAnsi="Open Sans" w:cs="Open Sans"/>
          <w:bCs/>
          <w:position w:val="1"/>
          <w:lang w:val="en-GB"/>
        </w:rPr>
        <w:t xml:space="preserve">or </w:t>
      </w:r>
      <w:r w:rsidR="00E0178E" w:rsidRPr="00E545EA">
        <w:rPr>
          <w:rFonts w:ascii="Open Sans" w:eastAsia="Open Sans Regular" w:hAnsi="Open Sans" w:cs="Open Sans"/>
          <w:b/>
          <w:bCs/>
          <w:position w:val="1"/>
          <w:lang w:val="en-GB"/>
        </w:rPr>
        <w:t>false</w:t>
      </w:r>
      <w:r w:rsidRPr="00E545EA">
        <w:rPr>
          <w:rFonts w:ascii="Open Sans" w:eastAsia="Open Sans Regular" w:hAnsi="Open Sans" w:cs="Open Sans"/>
          <w:bCs/>
          <w:position w:val="1"/>
          <w:lang w:val="en-GB"/>
        </w:rPr>
        <w:t>?</w:t>
      </w:r>
    </w:p>
    <w:tbl>
      <w:tblPr>
        <w:tblStyle w:val="TableGrid"/>
        <w:tblW w:w="10440" w:type="dxa"/>
        <w:tblInd w:w="-455" w:type="dxa"/>
        <w:tblBorders>
          <w:top w:val="single" w:sz="4" w:space="0" w:color="00B297"/>
          <w:left w:val="single" w:sz="4" w:space="0" w:color="00B297"/>
          <w:bottom w:val="single" w:sz="4" w:space="0" w:color="00B297"/>
          <w:right w:val="single" w:sz="4" w:space="0" w:color="00B297"/>
          <w:insideH w:val="single" w:sz="4" w:space="0" w:color="00B297"/>
          <w:insideV w:val="single" w:sz="4" w:space="0" w:color="00B297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8010"/>
        <w:gridCol w:w="810"/>
        <w:gridCol w:w="900"/>
      </w:tblGrid>
      <w:tr w:rsidR="006B7CC7" w:rsidRPr="00E545EA" w14:paraId="4D515800" w14:textId="77777777" w:rsidTr="00BB5344">
        <w:tc>
          <w:tcPr>
            <w:tcW w:w="720" w:type="dxa"/>
            <w:shd w:val="clear" w:color="auto" w:fill="00B297"/>
            <w:vAlign w:val="center"/>
          </w:tcPr>
          <w:p w14:paraId="6EF2ECA6" w14:textId="77777777" w:rsidR="00A60FF2" w:rsidRPr="00E545EA" w:rsidRDefault="00A60FF2" w:rsidP="00BB5344">
            <w:pPr>
              <w:pStyle w:val="tableheading"/>
              <w:ind w:right="75"/>
              <w:jc w:val="center"/>
              <w:rPr>
                <w:rFonts w:ascii="Open Sans" w:hAnsi="Open Sans" w:cs="Open Sans"/>
                <w:color w:val="auto"/>
              </w:rPr>
            </w:pPr>
          </w:p>
        </w:tc>
        <w:tc>
          <w:tcPr>
            <w:tcW w:w="8010" w:type="dxa"/>
            <w:shd w:val="clear" w:color="auto" w:fill="00B297"/>
          </w:tcPr>
          <w:p w14:paraId="786DA1AD" w14:textId="77777777" w:rsidR="00A60FF2" w:rsidRPr="00E545EA" w:rsidRDefault="00A60FF2" w:rsidP="00657087">
            <w:pPr>
              <w:pStyle w:val="tableheading"/>
              <w:rPr>
                <w:rFonts w:ascii="Open Sans" w:hAnsi="Open Sans" w:cs="Open Sans"/>
                <w:color w:val="auto"/>
              </w:rPr>
            </w:pPr>
            <w:r w:rsidRPr="00E545EA">
              <w:rPr>
                <w:rFonts w:ascii="Open Sans" w:hAnsi="Open Sans" w:cs="Open Sans"/>
                <w:color w:val="auto"/>
              </w:rPr>
              <w:t>Statement</w:t>
            </w:r>
          </w:p>
        </w:tc>
        <w:tc>
          <w:tcPr>
            <w:tcW w:w="810" w:type="dxa"/>
            <w:shd w:val="clear" w:color="auto" w:fill="00B297"/>
            <w:vAlign w:val="center"/>
          </w:tcPr>
          <w:p w14:paraId="20E04FFA" w14:textId="77777777" w:rsidR="00A60FF2" w:rsidRPr="00E545EA" w:rsidRDefault="00A60FF2" w:rsidP="00157441">
            <w:pPr>
              <w:pStyle w:val="tableheading"/>
              <w:jc w:val="center"/>
              <w:rPr>
                <w:rFonts w:ascii="Open Sans" w:hAnsi="Open Sans" w:cs="Open Sans"/>
                <w:color w:val="auto"/>
              </w:rPr>
            </w:pPr>
            <w:r w:rsidRPr="00E545EA">
              <w:rPr>
                <w:rFonts w:ascii="Open Sans" w:hAnsi="Open Sans" w:cs="Open Sans"/>
                <w:color w:val="auto"/>
              </w:rPr>
              <w:t>TRUE</w:t>
            </w:r>
          </w:p>
        </w:tc>
        <w:tc>
          <w:tcPr>
            <w:tcW w:w="900" w:type="dxa"/>
            <w:shd w:val="clear" w:color="auto" w:fill="00B297"/>
            <w:vAlign w:val="center"/>
          </w:tcPr>
          <w:p w14:paraId="5868F379" w14:textId="77777777" w:rsidR="00A60FF2" w:rsidRPr="00E545EA" w:rsidRDefault="00A60FF2" w:rsidP="00157441">
            <w:pPr>
              <w:pStyle w:val="tableheading"/>
              <w:jc w:val="center"/>
              <w:rPr>
                <w:rFonts w:ascii="Open Sans" w:hAnsi="Open Sans" w:cs="Open Sans"/>
                <w:color w:val="auto"/>
              </w:rPr>
            </w:pPr>
            <w:r w:rsidRPr="00E545EA">
              <w:rPr>
                <w:rFonts w:ascii="Open Sans" w:hAnsi="Open Sans" w:cs="Open Sans"/>
                <w:color w:val="auto"/>
              </w:rPr>
              <w:t>FALSE</w:t>
            </w:r>
          </w:p>
        </w:tc>
      </w:tr>
      <w:tr w:rsidR="00A60FF2" w:rsidRPr="00E545EA" w14:paraId="5A589263" w14:textId="77777777" w:rsidTr="00BB5344">
        <w:trPr>
          <w:trHeight w:val="215"/>
        </w:trPr>
        <w:tc>
          <w:tcPr>
            <w:tcW w:w="720" w:type="dxa"/>
            <w:vAlign w:val="center"/>
          </w:tcPr>
          <w:p w14:paraId="44A9D92F" w14:textId="77777777" w:rsidR="00A60FF2" w:rsidRPr="00E545EA" w:rsidRDefault="00A60FF2" w:rsidP="00BB5344">
            <w:pPr>
              <w:pStyle w:val="tableheading"/>
              <w:keepNext w:val="0"/>
              <w:ind w:right="75"/>
              <w:jc w:val="center"/>
              <w:rPr>
                <w:rFonts w:ascii="Open Sans" w:hAnsi="Open Sans" w:cs="Open Sans"/>
                <w:color w:val="auto"/>
              </w:rPr>
            </w:pPr>
            <w:r w:rsidRPr="00E545EA">
              <w:rPr>
                <w:rFonts w:ascii="Open Sans" w:hAnsi="Open Sans" w:cs="Open Sans"/>
                <w:color w:val="auto"/>
              </w:rPr>
              <w:t>1</w:t>
            </w:r>
          </w:p>
        </w:tc>
        <w:tc>
          <w:tcPr>
            <w:tcW w:w="8010" w:type="dxa"/>
            <w:vAlign w:val="center"/>
          </w:tcPr>
          <w:p w14:paraId="42FDAA1B" w14:textId="36BB8336" w:rsidR="00A60FF2" w:rsidRPr="00E545EA" w:rsidRDefault="00A60FF2" w:rsidP="00157441">
            <w:pPr>
              <w:spacing w:before="80" w:after="80"/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</w:pPr>
            <w:r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 xml:space="preserve">It is important to share assessment information with the relevant coordination </w:t>
            </w:r>
            <w:r w:rsidR="008113BE"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>body</w:t>
            </w:r>
            <w:r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 xml:space="preserve"> in a timely manner.</w:t>
            </w:r>
          </w:p>
        </w:tc>
        <w:tc>
          <w:tcPr>
            <w:tcW w:w="810" w:type="dxa"/>
            <w:vAlign w:val="center"/>
          </w:tcPr>
          <w:p w14:paraId="187392F8" w14:textId="77777777" w:rsidR="00A60FF2" w:rsidRPr="00E545EA" w:rsidRDefault="00A60FF2" w:rsidP="00157441">
            <w:pPr>
              <w:pStyle w:val="table"/>
              <w:jc w:val="center"/>
              <w:rPr>
                <w:rFonts w:ascii="Open Sans" w:hAnsi="Open Sans" w:cs="Open Sans"/>
                <w:color w:val="4472C4" w:themeColor="accent1"/>
                <w:sz w:val="28"/>
                <w:szCs w:val="28"/>
              </w:rPr>
            </w:pPr>
            <w:r w:rsidRPr="00E545EA">
              <w:rPr>
                <w:rFonts w:ascii="Open Sans" w:hAnsi="Open Sans" w:cs="Open Sans"/>
                <w:color w:val="4472C4" w:themeColor="accent1"/>
                <w:sz w:val="28"/>
                <w:szCs w:val="28"/>
              </w:rPr>
              <w:t></w:t>
            </w:r>
          </w:p>
        </w:tc>
        <w:tc>
          <w:tcPr>
            <w:tcW w:w="900" w:type="dxa"/>
            <w:vAlign w:val="center"/>
          </w:tcPr>
          <w:p w14:paraId="24DA00AC" w14:textId="77777777" w:rsidR="00A60FF2" w:rsidRPr="00E545EA" w:rsidRDefault="00A60FF2" w:rsidP="00157441">
            <w:pPr>
              <w:pStyle w:val="table"/>
              <w:jc w:val="center"/>
              <w:rPr>
                <w:rFonts w:ascii="Open Sans" w:hAnsi="Open Sans" w:cs="Open Sans"/>
              </w:rPr>
            </w:pPr>
            <w:r w:rsidRPr="00E545EA">
              <w:rPr>
                <w:rFonts w:ascii="Open Sans" w:hAnsi="Open Sans" w:cs="Open Sans"/>
                <w:color w:val="4472C4" w:themeColor="accent1"/>
                <w:sz w:val="28"/>
                <w:szCs w:val="28"/>
              </w:rPr>
              <w:t></w:t>
            </w:r>
          </w:p>
        </w:tc>
      </w:tr>
      <w:tr w:rsidR="006B7CC7" w:rsidRPr="00E545EA" w14:paraId="0842B953" w14:textId="77777777" w:rsidTr="00BB5344">
        <w:tc>
          <w:tcPr>
            <w:tcW w:w="720" w:type="dxa"/>
            <w:shd w:val="clear" w:color="auto" w:fill="E1FFFB"/>
            <w:vAlign w:val="center"/>
          </w:tcPr>
          <w:p w14:paraId="12F4B9E2" w14:textId="77777777" w:rsidR="00A60FF2" w:rsidRPr="00E545EA" w:rsidRDefault="00A60FF2" w:rsidP="00BB5344">
            <w:pPr>
              <w:pStyle w:val="tableheading"/>
              <w:keepNext w:val="0"/>
              <w:ind w:right="75"/>
              <w:jc w:val="center"/>
              <w:rPr>
                <w:rFonts w:ascii="Open Sans" w:hAnsi="Open Sans" w:cs="Open Sans"/>
                <w:color w:val="auto"/>
              </w:rPr>
            </w:pPr>
            <w:r w:rsidRPr="00E545EA">
              <w:rPr>
                <w:rFonts w:ascii="Open Sans" w:hAnsi="Open Sans" w:cs="Open Sans"/>
                <w:color w:val="auto"/>
              </w:rPr>
              <w:t>2</w:t>
            </w:r>
          </w:p>
        </w:tc>
        <w:tc>
          <w:tcPr>
            <w:tcW w:w="8010" w:type="dxa"/>
            <w:shd w:val="clear" w:color="auto" w:fill="E1FFFB"/>
            <w:vAlign w:val="center"/>
          </w:tcPr>
          <w:p w14:paraId="518BC561" w14:textId="32F64143" w:rsidR="00A60FF2" w:rsidRPr="00E545EA" w:rsidRDefault="00A60FF2" w:rsidP="00157441">
            <w:pPr>
              <w:spacing w:before="80" w:after="80"/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</w:pPr>
            <w:r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>WASH</w:t>
            </w:r>
            <w:r w:rsidR="00E0178E"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>-</w:t>
            </w:r>
            <w:r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 xml:space="preserve">monitoring activities geared toward hygiene promotion should be </w:t>
            </w:r>
            <w:r w:rsidR="00615B56"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 xml:space="preserve">coordinated with </w:t>
            </w:r>
            <w:r w:rsidR="008113BE"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>the h</w:t>
            </w:r>
            <w:r w:rsidR="00615B56"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 xml:space="preserve">ealth </w:t>
            </w:r>
            <w:r w:rsidR="008113BE"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 xml:space="preserve">programme </w:t>
            </w:r>
            <w:r w:rsidR="00615B56"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 xml:space="preserve">actors. </w:t>
            </w:r>
          </w:p>
        </w:tc>
        <w:tc>
          <w:tcPr>
            <w:tcW w:w="810" w:type="dxa"/>
            <w:shd w:val="clear" w:color="auto" w:fill="E1FFFB"/>
            <w:vAlign w:val="center"/>
          </w:tcPr>
          <w:p w14:paraId="7A1FEF81" w14:textId="77777777" w:rsidR="00A60FF2" w:rsidRPr="00E545EA" w:rsidRDefault="00A60FF2" w:rsidP="00157441">
            <w:pPr>
              <w:pStyle w:val="table"/>
              <w:jc w:val="center"/>
              <w:rPr>
                <w:rFonts w:ascii="Open Sans" w:hAnsi="Open Sans" w:cs="Open Sans"/>
              </w:rPr>
            </w:pPr>
            <w:r w:rsidRPr="00E545EA">
              <w:rPr>
                <w:rFonts w:ascii="Open Sans" w:hAnsi="Open Sans" w:cs="Open Sans"/>
                <w:color w:val="4472C4" w:themeColor="accent1"/>
                <w:sz w:val="28"/>
                <w:szCs w:val="28"/>
              </w:rPr>
              <w:t></w:t>
            </w:r>
          </w:p>
        </w:tc>
        <w:tc>
          <w:tcPr>
            <w:tcW w:w="900" w:type="dxa"/>
            <w:shd w:val="clear" w:color="auto" w:fill="E1FFFB"/>
            <w:vAlign w:val="center"/>
          </w:tcPr>
          <w:p w14:paraId="36341CD4" w14:textId="77777777" w:rsidR="00A60FF2" w:rsidRPr="00E545EA" w:rsidRDefault="00A60FF2" w:rsidP="00157441">
            <w:pPr>
              <w:pStyle w:val="table"/>
              <w:jc w:val="center"/>
              <w:rPr>
                <w:rFonts w:ascii="Open Sans" w:hAnsi="Open Sans" w:cs="Open Sans"/>
              </w:rPr>
            </w:pPr>
            <w:r w:rsidRPr="00E545EA">
              <w:rPr>
                <w:rFonts w:ascii="Open Sans" w:hAnsi="Open Sans" w:cs="Open Sans"/>
                <w:color w:val="4472C4" w:themeColor="accent1"/>
                <w:sz w:val="28"/>
                <w:szCs w:val="28"/>
              </w:rPr>
              <w:t></w:t>
            </w:r>
          </w:p>
        </w:tc>
      </w:tr>
      <w:tr w:rsidR="00A60FF2" w:rsidRPr="00E545EA" w14:paraId="6200C5CF" w14:textId="77777777" w:rsidTr="00BB5344">
        <w:tc>
          <w:tcPr>
            <w:tcW w:w="720" w:type="dxa"/>
            <w:vAlign w:val="center"/>
          </w:tcPr>
          <w:p w14:paraId="02CC637F" w14:textId="77777777" w:rsidR="00A60FF2" w:rsidRPr="00E545EA" w:rsidRDefault="00A60FF2" w:rsidP="00BB5344">
            <w:pPr>
              <w:pStyle w:val="tableheading"/>
              <w:keepNext w:val="0"/>
              <w:ind w:right="75"/>
              <w:jc w:val="center"/>
              <w:rPr>
                <w:rFonts w:ascii="Open Sans" w:hAnsi="Open Sans" w:cs="Open Sans"/>
                <w:color w:val="auto"/>
              </w:rPr>
            </w:pPr>
            <w:r w:rsidRPr="00E545EA">
              <w:rPr>
                <w:rFonts w:ascii="Open Sans" w:hAnsi="Open Sans" w:cs="Open Sans"/>
                <w:color w:val="auto"/>
              </w:rPr>
              <w:t>3</w:t>
            </w:r>
          </w:p>
        </w:tc>
        <w:tc>
          <w:tcPr>
            <w:tcW w:w="8010" w:type="dxa"/>
            <w:vAlign w:val="center"/>
          </w:tcPr>
          <w:p w14:paraId="7611B768" w14:textId="0B2BB717" w:rsidR="00A60FF2" w:rsidRPr="00E545EA" w:rsidRDefault="00A60FF2" w:rsidP="00157441">
            <w:pPr>
              <w:spacing w:before="80" w:after="80"/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</w:pPr>
            <w:r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>In an emergency, OCHA</w:t>
            </w:r>
            <w:r w:rsidR="001008C9"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 xml:space="preserve"> should</w:t>
            </w:r>
            <w:r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 xml:space="preserve"> take the lead to coordinate humanitarian intervention.</w:t>
            </w:r>
          </w:p>
        </w:tc>
        <w:tc>
          <w:tcPr>
            <w:tcW w:w="810" w:type="dxa"/>
            <w:vAlign w:val="center"/>
          </w:tcPr>
          <w:p w14:paraId="20B5FA6F" w14:textId="77777777" w:rsidR="00A60FF2" w:rsidRPr="00E545EA" w:rsidRDefault="00A60FF2" w:rsidP="00157441">
            <w:pPr>
              <w:pStyle w:val="table"/>
              <w:jc w:val="center"/>
              <w:rPr>
                <w:rFonts w:ascii="Open Sans" w:hAnsi="Open Sans" w:cs="Open Sans"/>
              </w:rPr>
            </w:pPr>
            <w:r w:rsidRPr="00E545EA">
              <w:rPr>
                <w:rFonts w:ascii="Open Sans" w:hAnsi="Open Sans" w:cs="Open Sans"/>
                <w:color w:val="4472C4" w:themeColor="accent1"/>
                <w:sz w:val="28"/>
                <w:szCs w:val="28"/>
              </w:rPr>
              <w:t></w:t>
            </w:r>
          </w:p>
        </w:tc>
        <w:tc>
          <w:tcPr>
            <w:tcW w:w="900" w:type="dxa"/>
            <w:vAlign w:val="center"/>
          </w:tcPr>
          <w:p w14:paraId="0055433A" w14:textId="77777777" w:rsidR="00A60FF2" w:rsidRPr="00E545EA" w:rsidRDefault="00A60FF2" w:rsidP="00157441">
            <w:pPr>
              <w:pStyle w:val="table"/>
              <w:jc w:val="center"/>
              <w:rPr>
                <w:rFonts w:ascii="Open Sans" w:hAnsi="Open Sans" w:cs="Open Sans"/>
              </w:rPr>
            </w:pPr>
            <w:r w:rsidRPr="00E545EA">
              <w:rPr>
                <w:rFonts w:ascii="Open Sans" w:hAnsi="Open Sans" w:cs="Open Sans"/>
                <w:color w:val="4472C4" w:themeColor="accent1"/>
                <w:sz w:val="28"/>
                <w:szCs w:val="28"/>
              </w:rPr>
              <w:t></w:t>
            </w:r>
          </w:p>
        </w:tc>
      </w:tr>
      <w:tr w:rsidR="006B7CC7" w:rsidRPr="00E545EA" w14:paraId="5EE26883" w14:textId="77777777" w:rsidTr="00BB5344">
        <w:tc>
          <w:tcPr>
            <w:tcW w:w="720" w:type="dxa"/>
            <w:shd w:val="clear" w:color="auto" w:fill="E1FFFB"/>
            <w:vAlign w:val="center"/>
          </w:tcPr>
          <w:p w14:paraId="52B189D0" w14:textId="77777777" w:rsidR="00A60FF2" w:rsidRPr="00E545EA" w:rsidRDefault="00A60FF2" w:rsidP="00BB5344">
            <w:pPr>
              <w:pStyle w:val="tableheading"/>
              <w:keepNext w:val="0"/>
              <w:ind w:right="75"/>
              <w:jc w:val="center"/>
              <w:rPr>
                <w:rFonts w:ascii="Open Sans" w:hAnsi="Open Sans" w:cs="Open Sans"/>
                <w:color w:val="auto"/>
              </w:rPr>
            </w:pPr>
            <w:r w:rsidRPr="00E545EA">
              <w:rPr>
                <w:rFonts w:ascii="Open Sans" w:hAnsi="Open Sans" w:cs="Open Sans"/>
                <w:color w:val="auto"/>
              </w:rPr>
              <w:t>4</w:t>
            </w:r>
          </w:p>
        </w:tc>
        <w:tc>
          <w:tcPr>
            <w:tcW w:w="8010" w:type="dxa"/>
            <w:shd w:val="clear" w:color="auto" w:fill="E1FFFB"/>
            <w:vAlign w:val="center"/>
          </w:tcPr>
          <w:p w14:paraId="0000E335" w14:textId="7826B130" w:rsidR="00A60FF2" w:rsidRPr="00E545EA" w:rsidRDefault="00143594" w:rsidP="00157441">
            <w:pPr>
              <w:spacing w:before="80" w:after="80"/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</w:pPr>
            <w:r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>When</w:t>
            </w:r>
            <w:r w:rsidR="00A60FF2"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 xml:space="preserve"> each agency performs </w:t>
            </w:r>
            <w:r w:rsidR="00733E5D"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 xml:space="preserve">an </w:t>
            </w:r>
            <w:r w:rsidR="008730CD"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>independent</w:t>
            </w:r>
            <w:r w:rsidR="00A60FF2"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 xml:space="preserve"> analysis of the humanitarian situation</w:t>
            </w:r>
            <w:r w:rsidR="00946037"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 xml:space="preserve"> in a location</w:t>
            </w:r>
            <w:r w:rsidR="00E0178E"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>, it</w:t>
            </w:r>
            <w:r w:rsidR="00A60FF2"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 xml:space="preserve"> </w:t>
            </w:r>
            <w:r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>should</w:t>
            </w:r>
            <w:r w:rsidR="00733E5D"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 xml:space="preserve"> </w:t>
            </w:r>
            <w:r w:rsidR="00A60FF2"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 xml:space="preserve">select </w:t>
            </w:r>
            <w:r w:rsidR="00946037"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>that</w:t>
            </w:r>
            <w:r w:rsidR="00A60FF2"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 xml:space="preserve"> geographical area for </w:t>
            </w:r>
            <w:r w:rsidR="00E0178E"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 xml:space="preserve">its </w:t>
            </w:r>
            <w:r w:rsidR="00946037"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 xml:space="preserve">own </w:t>
            </w:r>
            <w:r w:rsidR="00A60FF2"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 xml:space="preserve">response plan </w:t>
            </w:r>
            <w:r w:rsidR="00946037"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 xml:space="preserve">based </w:t>
            </w:r>
            <w:r w:rsidR="00A60FF2"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 xml:space="preserve">on </w:t>
            </w:r>
            <w:r w:rsidR="00E0178E"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 xml:space="preserve">its </w:t>
            </w:r>
            <w:r w:rsidR="00A60FF2"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 xml:space="preserve">own </w:t>
            </w:r>
            <w:r w:rsidR="00733E5D"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>information and experience.</w:t>
            </w:r>
          </w:p>
        </w:tc>
        <w:tc>
          <w:tcPr>
            <w:tcW w:w="810" w:type="dxa"/>
            <w:shd w:val="clear" w:color="auto" w:fill="E1FFFB"/>
            <w:vAlign w:val="center"/>
          </w:tcPr>
          <w:p w14:paraId="3D191849" w14:textId="77777777" w:rsidR="00A60FF2" w:rsidRPr="00E545EA" w:rsidRDefault="00A60FF2" w:rsidP="00157441">
            <w:pPr>
              <w:pStyle w:val="table"/>
              <w:jc w:val="center"/>
              <w:rPr>
                <w:rFonts w:ascii="Open Sans" w:hAnsi="Open Sans" w:cs="Open Sans"/>
              </w:rPr>
            </w:pPr>
            <w:r w:rsidRPr="00E545EA">
              <w:rPr>
                <w:rFonts w:ascii="Open Sans" w:hAnsi="Open Sans" w:cs="Open Sans"/>
                <w:color w:val="4472C4" w:themeColor="accent1"/>
                <w:sz w:val="28"/>
                <w:szCs w:val="28"/>
              </w:rPr>
              <w:t></w:t>
            </w:r>
          </w:p>
        </w:tc>
        <w:tc>
          <w:tcPr>
            <w:tcW w:w="900" w:type="dxa"/>
            <w:shd w:val="clear" w:color="auto" w:fill="E1FFFB"/>
            <w:vAlign w:val="center"/>
          </w:tcPr>
          <w:p w14:paraId="06C56C8F" w14:textId="77777777" w:rsidR="00A60FF2" w:rsidRPr="00E545EA" w:rsidRDefault="00A60FF2" w:rsidP="00157441">
            <w:pPr>
              <w:pStyle w:val="table"/>
              <w:jc w:val="center"/>
              <w:rPr>
                <w:rFonts w:ascii="Open Sans" w:hAnsi="Open Sans" w:cs="Open Sans"/>
              </w:rPr>
            </w:pPr>
            <w:r w:rsidRPr="00E545EA">
              <w:rPr>
                <w:rFonts w:ascii="Open Sans" w:hAnsi="Open Sans" w:cs="Open Sans"/>
                <w:color w:val="4472C4" w:themeColor="accent1"/>
                <w:sz w:val="28"/>
                <w:szCs w:val="28"/>
              </w:rPr>
              <w:t></w:t>
            </w:r>
          </w:p>
        </w:tc>
      </w:tr>
      <w:tr w:rsidR="00A60FF2" w:rsidRPr="00E545EA" w14:paraId="79BD2D11" w14:textId="77777777" w:rsidTr="00BB5344">
        <w:tc>
          <w:tcPr>
            <w:tcW w:w="720" w:type="dxa"/>
            <w:vAlign w:val="center"/>
          </w:tcPr>
          <w:p w14:paraId="2ED05D21" w14:textId="77777777" w:rsidR="00A60FF2" w:rsidRPr="00E545EA" w:rsidRDefault="00A60FF2" w:rsidP="00BB5344">
            <w:pPr>
              <w:pStyle w:val="tableheading"/>
              <w:keepNext w:val="0"/>
              <w:ind w:right="75"/>
              <w:jc w:val="center"/>
              <w:rPr>
                <w:rFonts w:ascii="Open Sans" w:hAnsi="Open Sans" w:cs="Open Sans"/>
                <w:color w:val="auto"/>
              </w:rPr>
            </w:pPr>
            <w:r w:rsidRPr="00E545EA">
              <w:rPr>
                <w:rFonts w:ascii="Open Sans" w:hAnsi="Open Sans" w:cs="Open Sans"/>
                <w:color w:val="auto"/>
              </w:rPr>
              <w:t>5</w:t>
            </w:r>
          </w:p>
        </w:tc>
        <w:tc>
          <w:tcPr>
            <w:tcW w:w="8010" w:type="dxa"/>
            <w:vAlign w:val="center"/>
          </w:tcPr>
          <w:p w14:paraId="0A919847" w14:textId="7F6868C2" w:rsidR="00A60FF2" w:rsidRPr="00E545EA" w:rsidRDefault="00A60FF2" w:rsidP="00157441">
            <w:pPr>
              <w:spacing w:before="80" w:after="80"/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</w:pPr>
            <w:r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>Any person from my organisation can attend a coordination meeting, the important part is to be represented</w:t>
            </w:r>
            <w:r w:rsidR="003C1C61"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 xml:space="preserve"> and advised of key developments.</w:t>
            </w:r>
          </w:p>
        </w:tc>
        <w:tc>
          <w:tcPr>
            <w:tcW w:w="810" w:type="dxa"/>
            <w:vAlign w:val="center"/>
          </w:tcPr>
          <w:p w14:paraId="0E8B94BE" w14:textId="77777777" w:rsidR="00A60FF2" w:rsidRPr="00E545EA" w:rsidRDefault="00A60FF2" w:rsidP="00157441">
            <w:pPr>
              <w:pStyle w:val="table"/>
              <w:jc w:val="center"/>
              <w:rPr>
                <w:rFonts w:ascii="Open Sans" w:hAnsi="Open Sans" w:cs="Open Sans"/>
              </w:rPr>
            </w:pPr>
            <w:r w:rsidRPr="00E545EA">
              <w:rPr>
                <w:rFonts w:ascii="Open Sans" w:hAnsi="Open Sans" w:cs="Open Sans"/>
                <w:color w:val="4472C4" w:themeColor="accent1"/>
                <w:sz w:val="28"/>
                <w:szCs w:val="28"/>
              </w:rPr>
              <w:t></w:t>
            </w:r>
          </w:p>
        </w:tc>
        <w:tc>
          <w:tcPr>
            <w:tcW w:w="900" w:type="dxa"/>
            <w:vAlign w:val="center"/>
          </w:tcPr>
          <w:p w14:paraId="1BD5F24D" w14:textId="77777777" w:rsidR="00A60FF2" w:rsidRPr="00E545EA" w:rsidRDefault="00A60FF2" w:rsidP="00157441">
            <w:pPr>
              <w:pStyle w:val="table"/>
              <w:jc w:val="center"/>
              <w:rPr>
                <w:rFonts w:ascii="Open Sans" w:hAnsi="Open Sans" w:cs="Open Sans"/>
              </w:rPr>
            </w:pPr>
            <w:r w:rsidRPr="00E545EA">
              <w:rPr>
                <w:rFonts w:ascii="Open Sans" w:hAnsi="Open Sans" w:cs="Open Sans"/>
                <w:color w:val="4472C4" w:themeColor="accent1"/>
                <w:sz w:val="28"/>
                <w:szCs w:val="28"/>
              </w:rPr>
              <w:t></w:t>
            </w:r>
          </w:p>
        </w:tc>
      </w:tr>
      <w:tr w:rsidR="006B7CC7" w:rsidRPr="00E545EA" w14:paraId="36DDD8A8" w14:textId="77777777" w:rsidTr="00BB5344">
        <w:tc>
          <w:tcPr>
            <w:tcW w:w="720" w:type="dxa"/>
            <w:shd w:val="clear" w:color="auto" w:fill="E1FFFB"/>
            <w:vAlign w:val="center"/>
          </w:tcPr>
          <w:p w14:paraId="6976CEBF" w14:textId="77777777" w:rsidR="00A60FF2" w:rsidRPr="00E545EA" w:rsidRDefault="00A60FF2" w:rsidP="00BB5344">
            <w:pPr>
              <w:pStyle w:val="tableheading"/>
              <w:keepNext w:val="0"/>
              <w:ind w:right="75"/>
              <w:jc w:val="center"/>
              <w:rPr>
                <w:rFonts w:ascii="Open Sans" w:hAnsi="Open Sans" w:cs="Open Sans"/>
                <w:color w:val="auto"/>
              </w:rPr>
            </w:pPr>
            <w:r w:rsidRPr="00E545EA">
              <w:rPr>
                <w:rFonts w:ascii="Open Sans" w:hAnsi="Open Sans" w:cs="Open Sans"/>
                <w:color w:val="auto"/>
              </w:rPr>
              <w:t>6</w:t>
            </w:r>
          </w:p>
        </w:tc>
        <w:tc>
          <w:tcPr>
            <w:tcW w:w="8010" w:type="dxa"/>
            <w:shd w:val="clear" w:color="auto" w:fill="E1FFFB"/>
            <w:vAlign w:val="center"/>
          </w:tcPr>
          <w:p w14:paraId="0DE6730B" w14:textId="6C6D2782" w:rsidR="00A60FF2" w:rsidRPr="00E545EA" w:rsidRDefault="00A60FF2" w:rsidP="00157441">
            <w:pPr>
              <w:spacing w:before="80" w:after="80"/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</w:pPr>
            <w:r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>While humanitarian service delivery should be coordinated, advocacy</w:t>
            </w:r>
            <w:r w:rsidR="00E0178E"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 xml:space="preserve"> – </w:t>
            </w:r>
            <w:r w:rsidR="003C1C61"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>due to its nature and relation to fundraising</w:t>
            </w:r>
            <w:r w:rsidR="00E0178E"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 xml:space="preserve"> –</w:t>
            </w:r>
            <w:r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 xml:space="preserve"> should be done by each single agency</w:t>
            </w:r>
            <w:r w:rsidR="00733E5D"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 xml:space="preserve"> independently.</w:t>
            </w:r>
          </w:p>
        </w:tc>
        <w:tc>
          <w:tcPr>
            <w:tcW w:w="810" w:type="dxa"/>
            <w:shd w:val="clear" w:color="auto" w:fill="E1FFFB"/>
            <w:vAlign w:val="center"/>
          </w:tcPr>
          <w:p w14:paraId="5CD837EC" w14:textId="77777777" w:rsidR="00A60FF2" w:rsidRPr="00E545EA" w:rsidRDefault="00A60FF2" w:rsidP="00157441">
            <w:pPr>
              <w:pStyle w:val="table"/>
              <w:jc w:val="center"/>
              <w:rPr>
                <w:rFonts w:ascii="Open Sans" w:hAnsi="Open Sans" w:cs="Open Sans"/>
              </w:rPr>
            </w:pPr>
            <w:r w:rsidRPr="00E545EA">
              <w:rPr>
                <w:rFonts w:ascii="Open Sans" w:hAnsi="Open Sans" w:cs="Open Sans"/>
                <w:color w:val="4472C4" w:themeColor="accent1"/>
                <w:sz w:val="28"/>
                <w:szCs w:val="28"/>
              </w:rPr>
              <w:t></w:t>
            </w:r>
          </w:p>
        </w:tc>
        <w:tc>
          <w:tcPr>
            <w:tcW w:w="900" w:type="dxa"/>
            <w:shd w:val="clear" w:color="auto" w:fill="E1FFFB"/>
            <w:vAlign w:val="center"/>
          </w:tcPr>
          <w:p w14:paraId="6DE64B26" w14:textId="77777777" w:rsidR="00A60FF2" w:rsidRPr="00E545EA" w:rsidRDefault="00A60FF2" w:rsidP="00157441">
            <w:pPr>
              <w:pStyle w:val="table"/>
              <w:jc w:val="center"/>
              <w:rPr>
                <w:rFonts w:ascii="Open Sans" w:hAnsi="Open Sans" w:cs="Open Sans"/>
              </w:rPr>
            </w:pPr>
            <w:r w:rsidRPr="00E545EA">
              <w:rPr>
                <w:rFonts w:ascii="Open Sans" w:hAnsi="Open Sans" w:cs="Open Sans"/>
                <w:color w:val="4472C4" w:themeColor="accent1"/>
                <w:sz w:val="28"/>
                <w:szCs w:val="28"/>
              </w:rPr>
              <w:t></w:t>
            </w:r>
          </w:p>
        </w:tc>
      </w:tr>
      <w:tr w:rsidR="00A60FF2" w:rsidRPr="00E545EA" w14:paraId="77291DC7" w14:textId="77777777" w:rsidTr="00BB5344">
        <w:tc>
          <w:tcPr>
            <w:tcW w:w="720" w:type="dxa"/>
            <w:vAlign w:val="center"/>
          </w:tcPr>
          <w:p w14:paraId="77CD7593" w14:textId="77777777" w:rsidR="00A60FF2" w:rsidRPr="00E545EA" w:rsidRDefault="00A60FF2" w:rsidP="00BB5344">
            <w:pPr>
              <w:pStyle w:val="tableheading"/>
              <w:keepNext w:val="0"/>
              <w:ind w:right="75"/>
              <w:jc w:val="center"/>
              <w:rPr>
                <w:rFonts w:ascii="Open Sans" w:hAnsi="Open Sans" w:cs="Open Sans"/>
                <w:color w:val="auto"/>
              </w:rPr>
            </w:pPr>
            <w:r w:rsidRPr="00E545EA">
              <w:rPr>
                <w:rFonts w:ascii="Open Sans" w:hAnsi="Open Sans" w:cs="Open Sans"/>
                <w:color w:val="auto"/>
              </w:rPr>
              <w:t>7</w:t>
            </w:r>
          </w:p>
        </w:tc>
        <w:tc>
          <w:tcPr>
            <w:tcW w:w="8010" w:type="dxa"/>
            <w:vAlign w:val="center"/>
          </w:tcPr>
          <w:p w14:paraId="202492B9" w14:textId="3291A35C" w:rsidR="00A60FF2" w:rsidRPr="00E545EA" w:rsidRDefault="00A60FF2" w:rsidP="00157441">
            <w:pPr>
              <w:spacing w:before="80" w:after="80"/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</w:pPr>
            <w:r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>It is important to share o</w:t>
            </w:r>
            <w:r w:rsidR="00E7560A"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>n</w:t>
            </w:r>
            <w:r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 xml:space="preserve"> the coordination platform not only the progress of my organisation’s implementation, but also any major delays</w:t>
            </w:r>
            <w:r w:rsidR="00733E5D"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 xml:space="preserve"> or shortcomings</w:t>
            </w:r>
            <w:r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>.</w:t>
            </w:r>
          </w:p>
        </w:tc>
        <w:tc>
          <w:tcPr>
            <w:tcW w:w="810" w:type="dxa"/>
            <w:vAlign w:val="center"/>
          </w:tcPr>
          <w:p w14:paraId="361D82AC" w14:textId="77777777" w:rsidR="00A60FF2" w:rsidRPr="00E545EA" w:rsidRDefault="00A60FF2" w:rsidP="00157441">
            <w:pPr>
              <w:pStyle w:val="table"/>
              <w:jc w:val="center"/>
              <w:rPr>
                <w:rFonts w:ascii="Open Sans" w:hAnsi="Open Sans" w:cs="Open Sans"/>
              </w:rPr>
            </w:pPr>
            <w:r w:rsidRPr="00E545EA">
              <w:rPr>
                <w:rFonts w:ascii="Open Sans" w:hAnsi="Open Sans" w:cs="Open Sans"/>
                <w:color w:val="4472C4" w:themeColor="accent1"/>
                <w:sz w:val="28"/>
                <w:szCs w:val="28"/>
              </w:rPr>
              <w:t></w:t>
            </w:r>
          </w:p>
        </w:tc>
        <w:tc>
          <w:tcPr>
            <w:tcW w:w="900" w:type="dxa"/>
            <w:vAlign w:val="center"/>
          </w:tcPr>
          <w:p w14:paraId="252AD48E" w14:textId="77777777" w:rsidR="00A60FF2" w:rsidRPr="00E545EA" w:rsidRDefault="00A60FF2" w:rsidP="00157441">
            <w:pPr>
              <w:pStyle w:val="table"/>
              <w:jc w:val="center"/>
              <w:rPr>
                <w:rFonts w:ascii="Open Sans" w:hAnsi="Open Sans" w:cs="Open Sans"/>
              </w:rPr>
            </w:pPr>
            <w:r w:rsidRPr="00E545EA">
              <w:rPr>
                <w:rFonts w:ascii="Open Sans" w:hAnsi="Open Sans" w:cs="Open Sans"/>
                <w:color w:val="4472C4" w:themeColor="accent1"/>
                <w:sz w:val="28"/>
                <w:szCs w:val="28"/>
              </w:rPr>
              <w:t></w:t>
            </w:r>
          </w:p>
        </w:tc>
      </w:tr>
      <w:tr w:rsidR="006B7CC7" w:rsidRPr="00E545EA" w14:paraId="188D6880" w14:textId="77777777" w:rsidTr="00BB5344">
        <w:tc>
          <w:tcPr>
            <w:tcW w:w="720" w:type="dxa"/>
            <w:shd w:val="clear" w:color="auto" w:fill="E1FFFB"/>
            <w:vAlign w:val="center"/>
          </w:tcPr>
          <w:p w14:paraId="7F686575" w14:textId="77777777" w:rsidR="00A60FF2" w:rsidRPr="00E545EA" w:rsidRDefault="00A60FF2" w:rsidP="00BB5344">
            <w:pPr>
              <w:pStyle w:val="tableheading"/>
              <w:keepNext w:val="0"/>
              <w:ind w:right="75"/>
              <w:jc w:val="center"/>
              <w:rPr>
                <w:rFonts w:ascii="Open Sans" w:hAnsi="Open Sans" w:cs="Open Sans"/>
                <w:color w:val="auto"/>
              </w:rPr>
            </w:pPr>
            <w:r w:rsidRPr="00E545EA">
              <w:rPr>
                <w:rFonts w:ascii="Open Sans" w:hAnsi="Open Sans" w:cs="Open Sans"/>
                <w:color w:val="auto"/>
              </w:rPr>
              <w:t>8</w:t>
            </w:r>
          </w:p>
        </w:tc>
        <w:tc>
          <w:tcPr>
            <w:tcW w:w="8010" w:type="dxa"/>
            <w:shd w:val="clear" w:color="auto" w:fill="E1FFFB"/>
            <w:vAlign w:val="center"/>
          </w:tcPr>
          <w:p w14:paraId="6309379B" w14:textId="1582B68E" w:rsidR="00A60FF2" w:rsidRPr="00E545EA" w:rsidRDefault="00A60FF2" w:rsidP="00157441">
            <w:pPr>
              <w:spacing w:before="80" w:after="80"/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</w:pPr>
            <w:r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 xml:space="preserve">The Sphere Handbook cannot be used as a coordination tool </w:t>
            </w:r>
            <w:r w:rsidR="00733E5D"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 xml:space="preserve">in most responses </w:t>
            </w:r>
            <w:r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 xml:space="preserve">because it is not owned by any one </w:t>
            </w:r>
            <w:r w:rsidR="00733E5D"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>responder</w:t>
            </w:r>
            <w:r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>.</w:t>
            </w:r>
          </w:p>
        </w:tc>
        <w:tc>
          <w:tcPr>
            <w:tcW w:w="810" w:type="dxa"/>
            <w:shd w:val="clear" w:color="auto" w:fill="E1FFFB"/>
            <w:vAlign w:val="center"/>
          </w:tcPr>
          <w:p w14:paraId="73A72A1E" w14:textId="77777777" w:rsidR="00A60FF2" w:rsidRPr="00E545EA" w:rsidRDefault="00A60FF2" w:rsidP="00157441">
            <w:pPr>
              <w:pStyle w:val="table"/>
              <w:jc w:val="center"/>
              <w:rPr>
                <w:rFonts w:ascii="Open Sans" w:hAnsi="Open Sans" w:cs="Open Sans"/>
              </w:rPr>
            </w:pPr>
            <w:r w:rsidRPr="00E545EA">
              <w:rPr>
                <w:rFonts w:ascii="Open Sans" w:hAnsi="Open Sans" w:cs="Open Sans"/>
                <w:color w:val="4472C4" w:themeColor="accent1"/>
                <w:sz w:val="28"/>
                <w:szCs w:val="28"/>
              </w:rPr>
              <w:t></w:t>
            </w:r>
          </w:p>
        </w:tc>
        <w:tc>
          <w:tcPr>
            <w:tcW w:w="900" w:type="dxa"/>
            <w:shd w:val="clear" w:color="auto" w:fill="E1FFFB"/>
            <w:vAlign w:val="center"/>
          </w:tcPr>
          <w:p w14:paraId="6F07C7EB" w14:textId="77777777" w:rsidR="00A60FF2" w:rsidRPr="00E545EA" w:rsidRDefault="00A60FF2" w:rsidP="00157441">
            <w:pPr>
              <w:pStyle w:val="table"/>
              <w:jc w:val="center"/>
              <w:rPr>
                <w:rFonts w:ascii="Open Sans" w:hAnsi="Open Sans" w:cs="Open Sans"/>
              </w:rPr>
            </w:pPr>
            <w:r w:rsidRPr="00E545EA">
              <w:rPr>
                <w:rFonts w:ascii="Open Sans" w:hAnsi="Open Sans" w:cs="Open Sans"/>
                <w:color w:val="4472C4" w:themeColor="accent1"/>
                <w:sz w:val="28"/>
                <w:szCs w:val="28"/>
              </w:rPr>
              <w:t></w:t>
            </w:r>
          </w:p>
        </w:tc>
      </w:tr>
      <w:tr w:rsidR="00A60FF2" w:rsidRPr="00E545EA" w14:paraId="32CC8EE5" w14:textId="77777777" w:rsidTr="00BB5344">
        <w:tc>
          <w:tcPr>
            <w:tcW w:w="720" w:type="dxa"/>
            <w:vAlign w:val="center"/>
          </w:tcPr>
          <w:p w14:paraId="03EEC029" w14:textId="77777777" w:rsidR="00A60FF2" w:rsidRPr="00E545EA" w:rsidRDefault="00A60FF2" w:rsidP="00BB5344">
            <w:pPr>
              <w:pStyle w:val="tableheading"/>
              <w:keepNext w:val="0"/>
              <w:ind w:right="75"/>
              <w:jc w:val="center"/>
              <w:rPr>
                <w:rFonts w:ascii="Open Sans" w:hAnsi="Open Sans" w:cs="Open Sans"/>
                <w:color w:val="auto"/>
              </w:rPr>
            </w:pPr>
            <w:r w:rsidRPr="00E545EA">
              <w:rPr>
                <w:rFonts w:ascii="Open Sans" w:hAnsi="Open Sans" w:cs="Open Sans"/>
                <w:color w:val="auto"/>
              </w:rPr>
              <w:t>9</w:t>
            </w:r>
          </w:p>
        </w:tc>
        <w:tc>
          <w:tcPr>
            <w:tcW w:w="8010" w:type="dxa"/>
            <w:vAlign w:val="center"/>
          </w:tcPr>
          <w:p w14:paraId="794E8735" w14:textId="47096737" w:rsidR="00A60FF2" w:rsidRPr="00E545EA" w:rsidRDefault="00A60FF2" w:rsidP="00157441">
            <w:pPr>
              <w:spacing w:before="80" w:after="80"/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</w:pPr>
            <w:r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>The</w:t>
            </w:r>
            <w:r w:rsidR="00EC5BEB"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 xml:space="preserve">re is no value in coordinating with </w:t>
            </w:r>
            <w:r w:rsidR="00733E5D"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 xml:space="preserve">sexual and </w:t>
            </w:r>
            <w:r w:rsidR="00EC5BEB"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>gender</w:t>
            </w:r>
            <w:r w:rsidR="00BD33E2"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>-</w:t>
            </w:r>
            <w:r w:rsidR="00EC5BEB"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>based violence</w:t>
            </w:r>
            <w:r w:rsidR="00733E5D"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 xml:space="preserve"> programme </w:t>
            </w:r>
            <w:r w:rsidR="00EC5BEB"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 xml:space="preserve">partners if </w:t>
            </w:r>
            <w:r w:rsidR="009917EC"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>your program</w:t>
            </w:r>
            <w:r w:rsidR="00733E5D"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>me</w:t>
            </w:r>
            <w:r w:rsidR="009917EC"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 xml:space="preserve"> is designed to respond to </w:t>
            </w:r>
            <w:r w:rsidR="00BD33E2"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>s</w:t>
            </w:r>
            <w:r w:rsidR="009917EC"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 xml:space="preserve">evere </w:t>
            </w:r>
            <w:r w:rsidR="00BD33E2"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>a</w:t>
            </w:r>
            <w:r w:rsidR="009917EC"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 xml:space="preserve">cute </w:t>
            </w:r>
            <w:r w:rsidR="00BD33E2"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>m</w:t>
            </w:r>
            <w:r w:rsidR="009917EC"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>alnutrition.</w:t>
            </w:r>
            <w:r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 xml:space="preserve"> </w:t>
            </w:r>
          </w:p>
        </w:tc>
        <w:tc>
          <w:tcPr>
            <w:tcW w:w="810" w:type="dxa"/>
            <w:vAlign w:val="center"/>
          </w:tcPr>
          <w:p w14:paraId="54A603CC" w14:textId="77777777" w:rsidR="00A60FF2" w:rsidRPr="00E545EA" w:rsidRDefault="00A60FF2" w:rsidP="00157441">
            <w:pPr>
              <w:pStyle w:val="table"/>
              <w:jc w:val="center"/>
              <w:rPr>
                <w:rFonts w:ascii="Open Sans" w:hAnsi="Open Sans" w:cs="Open Sans"/>
              </w:rPr>
            </w:pPr>
            <w:r w:rsidRPr="00E545EA">
              <w:rPr>
                <w:rFonts w:ascii="Open Sans" w:hAnsi="Open Sans" w:cs="Open Sans"/>
                <w:color w:val="4472C4" w:themeColor="accent1"/>
                <w:sz w:val="28"/>
                <w:szCs w:val="28"/>
              </w:rPr>
              <w:t></w:t>
            </w:r>
          </w:p>
        </w:tc>
        <w:tc>
          <w:tcPr>
            <w:tcW w:w="900" w:type="dxa"/>
            <w:vAlign w:val="center"/>
          </w:tcPr>
          <w:p w14:paraId="7FEC9993" w14:textId="77777777" w:rsidR="00A60FF2" w:rsidRPr="00E545EA" w:rsidRDefault="00A60FF2" w:rsidP="00157441">
            <w:pPr>
              <w:pStyle w:val="table"/>
              <w:jc w:val="center"/>
              <w:rPr>
                <w:rFonts w:ascii="Open Sans" w:hAnsi="Open Sans" w:cs="Open Sans"/>
              </w:rPr>
            </w:pPr>
            <w:r w:rsidRPr="00E545EA">
              <w:rPr>
                <w:rFonts w:ascii="Open Sans" w:hAnsi="Open Sans" w:cs="Open Sans"/>
                <w:color w:val="4472C4" w:themeColor="accent1"/>
                <w:sz w:val="28"/>
                <w:szCs w:val="28"/>
              </w:rPr>
              <w:t></w:t>
            </w:r>
          </w:p>
        </w:tc>
      </w:tr>
      <w:tr w:rsidR="006B7CC7" w:rsidRPr="00E545EA" w14:paraId="0F97C468" w14:textId="77777777" w:rsidTr="00BB5344">
        <w:tc>
          <w:tcPr>
            <w:tcW w:w="720" w:type="dxa"/>
            <w:shd w:val="clear" w:color="auto" w:fill="E1FFFB"/>
            <w:vAlign w:val="center"/>
          </w:tcPr>
          <w:p w14:paraId="6C92AFA5" w14:textId="77777777" w:rsidR="00A60FF2" w:rsidRPr="00E545EA" w:rsidRDefault="00A60FF2" w:rsidP="00BB5344">
            <w:pPr>
              <w:pStyle w:val="tableheading"/>
              <w:keepNext w:val="0"/>
              <w:ind w:right="75"/>
              <w:jc w:val="center"/>
              <w:rPr>
                <w:rFonts w:ascii="Open Sans" w:hAnsi="Open Sans" w:cs="Open Sans"/>
                <w:color w:val="auto"/>
              </w:rPr>
            </w:pPr>
            <w:r w:rsidRPr="00E545EA">
              <w:rPr>
                <w:rFonts w:ascii="Open Sans" w:hAnsi="Open Sans" w:cs="Open Sans"/>
                <w:color w:val="auto"/>
              </w:rPr>
              <w:t>10</w:t>
            </w:r>
          </w:p>
        </w:tc>
        <w:tc>
          <w:tcPr>
            <w:tcW w:w="8010" w:type="dxa"/>
            <w:shd w:val="clear" w:color="auto" w:fill="E1FFFB"/>
            <w:vAlign w:val="center"/>
          </w:tcPr>
          <w:p w14:paraId="52693F95" w14:textId="6CE56877" w:rsidR="00A60FF2" w:rsidRPr="00E545EA" w:rsidRDefault="00A60FF2" w:rsidP="00157441">
            <w:pPr>
              <w:spacing w:before="80" w:after="80"/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</w:pPr>
            <w:r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>While coordination mostly takes place in specific sector</w:t>
            </w:r>
            <w:r w:rsidR="00BD33E2"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>s</w:t>
            </w:r>
            <w:r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 xml:space="preserve">, relevant information should be shared among </w:t>
            </w:r>
            <w:r w:rsidR="00BD33E2"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 xml:space="preserve">all </w:t>
            </w:r>
            <w:r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>sectors.</w:t>
            </w:r>
            <w:bookmarkStart w:id="0" w:name="_GoBack"/>
            <w:bookmarkEnd w:id="0"/>
          </w:p>
        </w:tc>
        <w:tc>
          <w:tcPr>
            <w:tcW w:w="810" w:type="dxa"/>
            <w:shd w:val="clear" w:color="auto" w:fill="E1FFFB"/>
            <w:vAlign w:val="center"/>
          </w:tcPr>
          <w:p w14:paraId="2AB90DAC" w14:textId="77777777" w:rsidR="00A60FF2" w:rsidRPr="00E545EA" w:rsidRDefault="00A60FF2" w:rsidP="00157441">
            <w:pPr>
              <w:pStyle w:val="table"/>
              <w:jc w:val="center"/>
              <w:rPr>
                <w:rFonts w:ascii="Open Sans" w:hAnsi="Open Sans" w:cs="Open Sans"/>
              </w:rPr>
            </w:pPr>
            <w:r w:rsidRPr="00E545EA">
              <w:rPr>
                <w:rFonts w:ascii="Open Sans" w:hAnsi="Open Sans" w:cs="Open Sans"/>
                <w:color w:val="4472C4" w:themeColor="accent1"/>
                <w:sz w:val="28"/>
                <w:szCs w:val="28"/>
              </w:rPr>
              <w:t></w:t>
            </w:r>
          </w:p>
        </w:tc>
        <w:tc>
          <w:tcPr>
            <w:tcW w:w="900" w:type="dxa"/>
            <w:shd w:val="clear" w:color="auto" w:fill="E1FFFB"/>
            <w:vAlign w:val="center"/>
          </w:tcPr>
          <w:p w14:paraId="184E5175" w14:textId="77777777" w:rsidR="00A60FF2" w:rsidRPr="00E545EA" w:rsidRDefault="00A60FF2" w:rsidP="00157441">
            <w:pPr>
              <w:pStyle w:val="table"/>
              <w:jc w:val="center"/>
              <w:rPr>
                <w:rFonts w:ascii="Open Sans" w:hAnsi="Open Sans" w:cs="Open Sans"/>
              </w:rPr>
            </w:pPr>
            <w:r w:rsidRPr="00E545EA">
              <w:rPr>
                <w:rFonts w:ascii="Open Sans" w:hAnsi="Open Sans" w:cs="Open Sans"/>
                <w:color w:val="4472C4" w:themeColor="accent1"/>
                <w:sz w:val="28"/>
                <w:szCs w:val="28"/>
              </w:rPr>
              <w:t></w:t>
            </w:r>
          </w:p>
        </w:tc>
      </w:tr>
      <w:tr w:rsidR="00A60FF2" w:rsidRPr="00E545EA" w14:paraId="44A96122" w14:textId="77777777" w:rsidTr="00BB5344">
        <w:tc>
          <w:tcPr>
            <w:tcW w:w="720" w:type="dxa"/>
            <w:vAlign w:val="center"/>
          </w:tcPr>
          <w:p w14:paraId="4C568786" w14:textId="77777777" w:rsidR="00A60FF2" w:rsidRPr="00E545EA" w:rsidRDefault="00A60FF2" w:rsidP="00BB5344">
            <w:pPr>
              <w:pStyle w:val="tableheading"/>
              <w:keepNext w:val="0"/>
              <w:ind w:right="75"/>
              <w:jc w:val="center"/>
              <w:rPr>
                <w:rFonts w:ascii="Open Sans" w:hAnsi="Open Sans" w:cs="Open Sans"/>
                <w:color w:val="auto"/>
              </w:rPr>
            </w:pPr>
            <w:r w:rsidRPr="00E545EA">
              <w:rPr>
                <w:rFonts w:ascii="Open Sans" w:hAnsi="Open Sans" w:cs="Open Sans"/>
                <w:color w:val="auto"/>
              </w:rPr>
              <w:t>11</w:t>
            </w:r>
          </w:p>
        </w:tc>
        <w:tc>
          <w:tcPr>
            <w:tcW w:w="8010" w:type="dxa"/>
            <w:vAlign w:val="center"/>
          </w:tcPr>
          <w:p w14:paraId="2E99ECEF" w14:textId="37E594E4" w:rsidR="00A60FF2" w:rsidRPr="00E545EA" w:rsidRDefault="00A60FF2" w:rsidP="00157441">
            <w:pPr>
              <w:spacing w:before="80" w:after="80"/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</w:pPr>
            <w:r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 xml:space="preserve">A </w:t>
            </w:r>
            <w:r w:rsidR="00E0178E"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>c</w:t>
            </w:r>
            <w:r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>luster is a group of UN agencies operating in an emergency.</w:t>
            </w:r>
          </w:p>
        </w:tc>
        <w:tc>
          <w:tcPr>
            <w:tcW w:w="810" w:type="dxa"/>
            <w:vAlign w:val="center"/>
          </w:tcPr>
          <w:p w14:paraId="62234AB7" w14:textId="77777777" w:rsidR="00A60FF2" w:rsidRPr="00E545EA" w:rsidRDefault="00A60FF2" w:rsidP="00157441">
            <w:pPr>
              <w:pStyle w:val="table"/>
              <w:jc w:val="center"/>
              <w:rPr>
                <w:rFonts w:ascii="Open Sans" w:hAnsi="Open Sans" w:cs="Open Sans"/>
              </w:rPr>
            </w:pPr>
            <w:r w:rsidRPr="00E545EA">
              <w:rPr>
                <w:rFonts w:ascii="Open Sans" w:hAnsi="Open Sans" w:cs="Open Sans"/>
                <w:color w:val="4472C4" w:themeColor="accent1"/>
                <w:sz w:val="28"/>
                <w:szCs w:val="28"/>
              </w:rPr>
              <w:t></w:t>
            </w:r>
          </w:p>
        </w:tc>
        <w:tc>
          <w:tcPr>
            <w:tcW w:w="900" w:type="dxa"/>
            <w:vAlign w:val="center"/>
          </w:tcPr>
          <w:p w14:paraId="7EF629AA" w14:textId="77777777" w:rsidR="00A60FF2" w:rsidRPr="00E545EA" w:rsidRDefault="00A60FF2" w:rsidP="00157441">
            <w:pPr>
              <w:pStyle w:val="table"/>
              <w:jc w:val="center"/>
              <w:rPr>
                <w:rFonts w:ascii="Open Sans" w:hAnsi="Open Sans" w:cs="Open Sans"/>
              </w:rPr>
            </w:pPr>
            <w:r w:rsidRPr="00E545EA">
              <w:rPr>
                <w:rFonts w:ascii="Open Sans" w:hAnsi="Open Sans" w:cs="Open Sans"/>
                <w:color w:val="4472C4" w:themeColor="accent1"/>
                <w:sz w:val="28"/>
                <w:szCs w:val="28"/>
              </w:rPr>
              <w:t></w:t>
            </w:r>
          </w:p>
        </w:tc>
      </w:tr>
      <w:tr w:rsidR="006B7CC7" w:rsidRPr="00E545EA" w14:paraId="04B1FAE9" w14:textId="77777777" w:rsidTr="00BB5344">
        <w:tc>
          <w:tcPr>
            <w:tcW w:w="720" w:type="dxa"/>
            <w:shd w:val="clear" w:color="auto" w:fill="E1FFFB"/>
            <w:vAlign w:val="center"/>
          </w:tcPr>
          <w:p w14:paraId="3100314A" w14:textId="77777777" w:rsidR="00A60FF2" w:rsidRPr="00E545EA" w:rsidRDefault="00A60FF2" w:rsidP="00BB5344">
            <w:pPr>
              <w:pStyle w:val="tableheading"/>
              <w:keepNext w:val="0"/>
              <w:ind w:right="75"/>
              <w:jc w:val="center"/>
              <w:rPr>
                <w:rFonts w:ascii="Open Sans" w:hAnsi="Open Sans" w:cs="Open Sans"/>
                <w:color w:val="auto"/>
              </w:rPr>
            </w:pPr>
            <w:r w:rsidRPr="00E545EA">
              <w:rPr>
                <w:rFonts w:ascii="Open Sans" w:hAnsi="Open Sans" w:cs="Open Sans"/>
                <w:color w:val="auto"/>
              </w:rPr>
              <w:t>12</w:t>
            </w:r>
          </w:p>
        </w:tc>
        <w:tc>
          <w:tcPr>
            <w:tcW w:w="8010" w:type="dxa"/>
            <w:shd w:val="clear" w:color="auto" w:fill="E1FFFB"/>
            <w:vAlign w:val="center"/>
          </w:tcPr>
          <w:p w14:paraId="6F6FB8D9" w14:textId="01859651" w:rsidR="00A60FF2" w:rsidRPr="00E545EA" w:rsidRDefault="00A60FF2" w:rsidP="00157441">
            <w:pPr>
              <w:spacing w:before="80" w:after="80"/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</w:pPr>
            <w:r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>If military forces bring particular expertise and resources – including security, logistics, transport</w:t>
            </w:r>
            <w:r w:rsidR="00E0178E"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>,</w:t>
            </w:r>
            <w:r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 xml:space="preserve"> and communication in an emergency response – there </w:t>
            </w:r>
            <w:r w:rsidR="00BD33E2"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>should be no humanitarian concerns in</w:t>
            </w:r>
            <w:r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 xml:space="preserve"> coordinat</w:t>
            </w:r>
            <w:r w:rsidR="00BD33E2"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>ing</w:t>
            </w:r>
            <w:r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 xml:space="preserve"> with them.</w:t>
            </w:r>
          </w:p>
        </w:tc>
        <w:tc>
          <w:tcPr>
            <w:tcW w:w="810" w:type="dxa"/>
            <w:shd w:val="clear" w:color="auto" w:fill="E1FFFB"/>
            <w:vAlign w:val="center"/>
          </w:tcPr>
          <w:p w14:paraId="2C135C49" w14:textId="77777777" w:rsidR="00A60FF2" w:rsidRPr="00E545EA" w:rsidRDefault="00A60FF2" w:rsidP="00157441">
            <w:pPr>
              <w:pStyle w:val="table"/>
              <w:jc w:val="center"/>
              <w:rPr>
                <w:rFonts w:ascii="Open Sans" w:hAnsi="Open Sans" w:cs="Open Sans"/>
              </w:rPr>
            </w:pPr>
            <w:r w:rsidRPr="00E545EA">
              <w:rPr>
                <w:rFonts w:ascii="Open Sans" w:hAnsi="Open Sans" w:cs="Open Sans"/>
                <w:color w:val="4472C4" w:themeColor="accent1"/>
                <w:sz w:val="28"/>
                <w:szCs w:val="28"/>
              </w:rPr>
              <w:t></w:t>
            </w:r>
          </w:p>
        </w:tc>
        <w:tc>
          <w:tcPr>
            <w:tcW w:w="900" w:type="dxa"/>
            <w:shd w:val="clear" w:color="auto" w:fill="E1FFFB"/>
            <w:vAlign w:val="center"/>
          </w:tcPr>
          <w:p w14:paraId="7DC8354E" w14:textId="77777777" w:rsidR="00A60FF2" w:rsidRPr="00E545EA" w:rsidRDefault="00A60FF2" w:rsidP="00157441">
            <w:pPr>
              <w:pStyle w:val="table"/>
              <w:jc w:val="center"/>
              <w:rPr>
                <w:rFonts w:ascii="Open Sans" w:hAnsi="Open Sans" w:cs="Open Sans"/>
              </w:rPr>
            </w:pPr>
            <w:r w:rsidRPr="00E545EA">
              <w:rPr>
                <w:rFonts w:ascii="Open Sans" w:hAnsi="Open Sans" w:cs="Open Sans"/>
                <w:color w:val="4472C4" w:themeColor="accent1"/>
                <w:sz w:val="28"/>
                <w:szCs w:val="28"/>
              </w:rPr>
              <w:t></w:t>
            </w:r>
          </w:p>
        </w:tc>
      </w:tr>
      <w:tr w:rsidR="00A60FF2" w:rsidRPr="00E545EA" w14:paraId="73349511" w14:textId="77777777" w:rsidTr="00BB5344">
        <w:tc>
          <w:tcPr>
            <w:tcW w:w="720" w:type="dxa"/>
            <w:vAlign w:val="center"/>
          </w:tcPr>
          <w:p w14:paraId="3AF35CA4" w14:textId="77777777" w:rsidR="00A60FF2" w:rsidRPr="00E545EA" w:rsidRDefault="00A60FF2" w:rsidP="00BB5344">
            <w:pPr>
              <w:pStyle w:val="tableheading"/>
              <w:keepNext w:val="0"/>
              <w:ind w:right="75"/>
              <w:jc w:val="center"/>
              <w:rPr>
                <w:rFonts w:ascii="Open Sans" w:hAnsi="Open Sans" w:cs="Open Sans"/>
                <w:color w:val="auto"/>
              </w:rPr>
            </w:pPr>
            <w:r w:rsidRPr="00E545EA">
              <w:rPr>
                <w:rFonts w:ascii="Open Sans" w:hAnsi="Open Sans" w:cs="Open Sans"/>
                <w:color w:val="auto"/>
              </w:rPr>
              <w:t>13</w:t>
            </w:r>
          </w:p>
        </w:tc>
        <w:tc>
          <w:tcPr>
            <w:tcW w:w="8010" w:type="dxa"/>
            <w:vAlign w:val="center"/>
          </w:tcPr>
          <w:p w14:paraId="2535C88F" w14:textId="79C6E325" w:rsidR="00A60FF2" w:rsidRPr="00E545EA" w:rsidRDefault="00A60FF2" w:rsidP="00157441">
            <w:pPr>
              <w:spacing w:before="80" w:after="80"/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</w:pPr>
            <w:r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 xml:space="preserve">It is important to </w:t>
            </w:r>
            <w:r w:rsidR="00BD33E2"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 xml:space="preserve">coordinate and </w:t>
            </w:r>
            <w:r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>promote good humanitarian practice with the private sector when it is involved in emergency response.</w:t>
            </w:r>
          </w:p>
        </w:tc>
        <w:tc>
          <w:tcPr>
            <w:tcW w:w="810" w:type="dxa"/>
            <w:vAlign w:val="center"/>
          </w:tcPr>
          <w:p w14:paraId="1B5BECA5" w14:textId="77777777" w:rsidR="00A60FF2" w:rsidRPr="00E545EA" w:rsidRDefault="00A60FF2" w:rsidP="00157441">
            <w:pPr>
              <w:pStyle w:val="table"/>
              <w:jc w:val="center"/>
              <w:rPr>
                <w:rFonts w:ascii="Open Sans" w:hAnsi="Open Sans" w:cs="Open Sans"/>
              </w:rPr>
            </w:pPr>
            <w:r w:rsidRPr="00E545EA">
              <w:rPr>
                <w:rFonts w:ascii="Open Sans" w:hAnsi="Open Sans" w:cs="Open Sans"/>
                <w:color w:val="4472C4" w:themeColor="accent1"/>
                <w:sz w:val="28"/>
                <w:szCs w:val="28"/>
              </w:rPr>
              <w:t></w:t>
            </w:r>
          </w:p>
        </w:tc>
        <w:tc>
          <w:tcPr>
            <w:tcW w:w="900" w:type="dxa"/>
            <w:vAlign w:val="center"/>
          </w:tcPr>
          <w:p w14:paraId="30922F7D" w14:textId="77777777" w:rsidR="00A60FF2" w:rsidRPr="00E545EA" w:rsidRDefault="00A60FF2" w:rsidP="00157441">
            <w:pPr>
              <w:pStyle w:val="table"/>
              <w:jc w:val="center"/>
              <w:rPr>
                <w:rFonts w:ascii="Open Sans" w:hAnsi="Open Sans" w:cs="Open Sans"/>
              </w:rPr>
            </w:pPr>
            <w:r w:rsidRPr="00E545EA">
              <w:rPr>
                <w:rFonts w:ascii="Open Sans" w:hAnsi="Open Sans" w:cs="Open Sans"/>
                <w:color w:val="4472C4" w:themeColor="accent1"/>
                <w:sz w:val="28"/>
                <w:szCs w:val="28"/>
              </w:rPr>
              <w:t></w:t>
            </w:r>
          </w:p>
        </w:tc>
      </w:tr>
      <w:tr w:rsidR="00A60FF2" w:rsidRPr="00E545EA" w14:paraId="7286B904" w14:textId="77777777" w:rsidTr="00BB5344">
        <w:tc>
          <w:tcPr>
            <w:tcW w:w="720" w:type="dxa"/>
            <w:shd w:val="clear" w:color="auto" w:fill="E1FFFB"/>
            <w:vAlign w:val="center"/>
          </w:tcPr>
          <w:p w14:paraId="223F6C00" w14:textId="2CE6E1F9" w:rsidR="00A60FF2" w:rsidRPr="00E545EA" w:rsidRDefault="00A60FF2" w:rsidP="00BB5344">
            <w:pPr>
              <w:pStyle w:val="tableheading"/>
              <w:keepNext w:val="0"/>
              <w:ind w:right="75"/>
              <w:jc w:val="center"/>
              <w:rPr>
                <w:rFonts w:ascii="Open Sans" w:hAnsi="Open Sans" w:cs="Open Sans"/>
                <w:color w:val="auto"/>
              </w:rPr>
            </w:pPr>
            <w:r w:rsidRPr="00E545EA">
              <w:rPr>
                <w:rFonts w:ascii="Open Sans" w:hAnsi="Open Sans" w:cs="Open Sans"/>
                <w:color w:val="auto"/>
              </w:rPr>
              <w:t>14</w:t>
            </w:r>
          </w:p>
        </w:tc>
        <w:tc>
          <w:tcPr>
            <w:tcW w:w="8010" w:type="dxa"/>
            <w:shd w:val="clear" w:color="auto" w:fill="E1FFFB"/>
            <w:vAlign w:val="center"/>
          </w:tcPr>
          <w:p w14:paraId="761EFB50" w14:textId="4A33DB5D" w:rsidR="00A60FF2" w:rsidRPr="00E545EA" w:rsidRDefault="00BD33E2" w:rsidP="00157441">
            <w:pPr>
              <w:spacing w:before="80" w:after="80"/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</w:pPr>
            <w:r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 xml:space="preserve">Since the </w:t>
            </w:r>
            <w:r w:rsidR="00670279"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>health sector</w:t>
            </w:r>
            <w:r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 xml:space="preserve"> is complex, and involves its own professionals, it is less useful to coordinate with this sector than with others.</w:t>
            </w:r>
          </w:p>
        </w:tc>
        <w:tc>
          <w:tcPr>
            <w:tcW w:w="810" w:type="dxa"/>
            <w:shd w:val="clear" w:color="auto" w:fill="E1FFFB"/>
            <w:vAlign w:val="center"/>
          </w:tcPr>
          <w:p w14:paraId="1D9C1890" w14:textId="3FC22507" w:rsidR="00A60FF2" w:rsidRPr="00E545EA" w:rsidRDefault="00A60FF2" w:rsidP="00157441">
            <w:pPr>
              <w:pStyle w:val="table"/>
              <w:jc w:val="center"/>
              <w:rPr>
                <w:rFonts w:ascii="Open Sans" w:hAnsi="Open Sans" w:cs="Open Sans"/>
                <w:color w:val="4472C4" w:themeColor="accent1"/>
                <w:sz w:val="28"/>
                <w:szCs w:val="28"/>
              </w:rPr>
            </w:pPr>
            <w:r w:rsidRPr="00E545EA">
              <w:rPr>
                <w:rFonts w:ascii="Open Sans" w:hAnsi="Open Sans" w:cs="Open Sans"/>
                <w:color w:val="4472C4" w:themeColor="accent1"/>
                <w:sz w:val="28"/>
                <w:szCs w:val="28"/>
              </w:rPr>
              <w:t></w:t>
            </w:r>
          </w:p>
        </w:tc>
        <w:tc>
          <w:tcPr>
            <w:tcW w:w="900" w:type="dxa"/>
            <w:shd w:val="clear" w:color="auto" w:fill="E1FFFB"/>
            <w:vAlign w:val="center"/>
          </w:tcPr>
          <w:p w14:paraId="08670064" w14:textId="1613622D" w:rsidR="00A60FF2" w:rsidRPr="00E545EA" w:rsidRDefault="00A60FF2" w:rsidP="00157441">
            <w:pPr>
              <w:pStyle w:val="table"/>
              <w:jc w:val="center"/>
              <w:rPr>
                <w:rFonts w:ascii="Open Sans" w:hAnsi="Open Sans" w:cs="Open Sans"/>
                <w:color w:val="4472C4" w:themeColor="accent1"/>
                <w:sz w:val="28"/>
                <w:szCs w:val="28"/>
              </w:rPr>
            </w:pPr>
            <w:r w:rsidRPr="00E545EA">
              <w:rPr>
                <w:rFonts w:ascii="Open Sans" w:hAnsi="Open Sans" w:cs="Open Sans"/>
                <w:color w:val="4472C4" w:themeColor="accent1"/>
                <w:sz w:val="28"/>
                <w:szCs w:val="28"/>
              </w:rPr>
              <w:t></w:t>
            </w:r>
          </w:p>
        </w:tc>
      </w:tr>
      <w:tr w:rsidR="00A60FF2" w:rsidRPr="00E545EA" w14:paraId="659A747C" w14:textId="77777777" w:rsidTr="00BB5344">
        <w:tc>
          <w:tcPr>
            <w:tcW w:w="720" w:type="dxa"/>
            <w:vAlign w:val="center"/>
          </w:tcPr>
          <w:p w14:paraId="3574D39A" w14:textId="006D3D41" w:rsidR="00A60FF2" w:rsidRPr="00E545EA" w:rsidRDefault="00A60FF2" w:rsidP="00BB5344">
            <w:pPr>
              <w:pStyle w:val="tableheading"/>
              <w:keepNext w:val="0"/>
              <w:ind w:right="75"/>
              <w:jc w:val="center"/>
              <w:rPr>
                <w:rFonts w:ascii="Open Sans" w:hAnsi="Open Sans" w:cs="Open Sans"/>
                <w:color w:val="auto"/>
              </w:rPr>
            </w:pPr>
            <w:r w:rsidRPr="00E545EA">
              <w:rPr>
                <w:rFonts w:ascii="Open Sans" w:hAnsi="Open Sans" w:cs="Open Sans"/>
                <w:color w:val="auto"/>
              </w:rPr>
              <w:t>15</w:t>
            </w:r>
          </w:p>
        </w:tc>
        <w:tc>
          <w:tcPr>
            <w:tcW w:w="8010" w:type="dxa"/>
            <w:vAlign w:val="center"/>
          </w:tcPr>
          <w:p w14:paraId="5DE68C3E" w14:textId="7D8DCBD0" w:rsidR="00A60FF2" w:rsidRPr="00E545EA" w:rsidRDefault="00E7560A" w:rsidP="00157441">
            <w:pPr>
              <w:spacing w:before="80" w:after="80"/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</w:pPr>
            <w:r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 xml:space="preserve">Coordination with local authorities in the Shelter </w:t>
            </w:r>
            <w:r w:rsidR="00BD33E2"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>C</w:t>
            </w:r>
            <w:r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 xml:space="preserve">luster helps ensure that needs are </w:t>
            </w:r>
            <w:proofErr w:type="gramStart"/>
            <w:r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>met</w:t>
            </w:r>
            <w:proofErr w:type="gramEnd"/>
            <w:r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 xml:space="preserve"> and efforts </w:t>
            </w:r>
            <w:r w:rsidR="00CE52A2"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 xml:space="preserve">are not duplicated, </w:t>
            </w:r>
            <w:r w:rsidR="00BD33E2"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>and can affect</w:t>
            </w:r>
            <w:r w:rsidR="00CE52A2"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 xml:space="preserve"> the optimi</w:t>
            </w:r>
            <w:r w:rsidR="00E0178E"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>s</w:t>
            </w:r>
            <w:r w:rsidR="00CE52A2" w:rsidRPr="00E545EA">
              <w:rPr>
                <w:rFonts w:ascii="Open Sans" w:eastAsia="Open Sans Regular" w:hAnsi="Open Sans" w:cs="Open Sans"/>
                <w:bCs/>
                <w:position w:val="1"/>
                <w:lang w:val="en-GB"/>
              </w:rPr>
              <w:t>ation of food security and nutrition responses.</w:t>
            </w:r>
          </w:p>
        </w:tc>
        <w:tc>
          <w:tcPr>
            <w:tcW w:w="810" w:type="dxa"/>
            <w:vAlign w:val="center"/>
          </w:tcPr>
          <w:p w14:paraId="709F036F" w14:textId="00AA09A8" w:rsidR="00A60FF2" w:rsidRPr="00E545EA" w:rsidRDefault="00A60FF2" w:rsidP="00157441">
            <w:pPr>
              <w:pStyle w:val="table"/>
              <w:jc w:val="center"/>
              <w:rPr>
                <w:rFonts w:ascii="Open Sans" w:hAnsi="Open Sans" w:cs="Open Sans"/>
                <w:color w:val="4472C4" w:themeColor="accent1"/>
                <w:sz w:val="28"/>
                <w:szCs w:val="28"/>
              </w:rPr>
            </w:pPr>
            <w:r w:rsidRPr="00E545EA">
              <w:rPr>
                <w:rFonts w:ascii="Open Sans" w:hAnsi="Open Sans" w:cs="Open Sans"/>
                <w:color w:val="4472C4" w:themeColor="accent1"/>
                <w:sz w:val="28"/>
                <w:szCs w:val="28"/>
              </w:rPr>
              <w:t></w:t>
            </w:r>
          </w:p>
        </w:tc>
        <w:tc>
          <w:tcPr>
            <w:tcW w:w="900" w:type="dxa"/>
            <w:vAlign w:val="center"/>
          </w:tcPr>
          <w:p w14:paraId="1F539C28" w14:textId="16411314" w:rsidR="00A60FF2" w:rsidRPr="00E545EA" w:rsidRDefault="00A60FF2" w:rsidP="00157441">
            <w:pPr>
              <w:pStyle w:val="table"/>
              <w:jc w:val="center"/>
              <w:rPr>
                <w:rFonts w:ascii="Open Sans" w:hAnsi="Open Sans" w:cs="Open Sans"/>
                <w:color w:val="4472C4" w:themeColor="accent1"/>
                <w:sz w:val="28"/>
                <w:szCs w:val="28"/>
              </w:rPr>
            </w:pPr>
            <w:r w:rsidRPr="00E545EA">
              <w:rPr>
                <w:rFonts w:ascii="Open Sans" w:hAnsi="Open Sans" w:cs="Open Sans"/>
                <w:color w:val="4472C4" w:themeColor="accent1"/>
                <w:sz w:val="28"/>
                <w:szCs w:val="28"/>
              </w:rPr>
              <w:t></w:t>
            </w:r>
          </w:p>
        </w:tc>
      </w:tr>
    </w:tbl>
    <w:p w14:paraId="6C0A37ED" w14:textId="77777777" w:rsidR="00EB57E8" w:rsidRPr="00E545EA" w:rsidRDefault="00EB57E8" w:rsidP="00C6573E">
      <w:pPr>
        <w:rPr>
          <w:rFonts w:ascii="Open Sans" w:hAnsi="Open Sans" w:cs="Open Sans"/>
          <w:lang w:val="en-GB"/>
        </w:rPr>
      </w:pPr>
    </w:p>
    <w:sectPr w:rsidR="00EB57E8" w:rsidRPr="00E545EA" w:rsidSect="00157441">
      <w:pgSz w:w="11906" w:h="16838" w:code="9"/>
      <w:pgMar w:top="540" w:right="144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FF2"/>
    <w:rsid w:val="001008C9"/>
    <w:rsid w:val="00143594"/>
    <w:rsid w:val="00157441"/>
    <w:rsid w:val="002945D3"/>
    <w:rsid w:val="003C1C61"/>
    <w:rsid w:val="00615B56"/>
    <w:rsid w:val="00670279"/>
    <w:rsid w:val="006B7CC7"/>
    <w:rsid w:val="00733E5D"/>
    <w:rsid w:val="007D42FF"/>
    <w:rsid w:val="008113BE"/>
    <w:rsid w:val="008730CD"/>
    <w:rsid w:val="00946037"/>
    <w:rsid w:val="009917EC"/>
    <w:rsid w:val="00A60FF2"/>
    <w:rsid w:val="00B204E1"/>
    <w:rsid w:val="00BB5344"/>
    <w:rsid w:val="00BD33E2"/>
    <w:rsid w:val="00BF7710"/>
    <w:rsid w:val="00C02FEE"/>
    <w:rsid w:val="00C6573E"/>
    <w:rsid w:val="00CE52A2"/>
    <w:rsid w:val="00D664A1"/>
    <w:rsid w:val="00DA6A7D"/>
    <w:rsid w:val="00DE156E"/>
    <w:rsid w:val="00DE188D"/>
    <w:rsid w:val="00E0178E"/>
    <w:rsid w:val="00E545EA"/>
    <w:rsid w:val="00E7560A"/>
    <w:rsid w:val="00EB57E8"/>
    <w:rsid w:val="00EC5BEB"/>
    <w:rsid w:val="00F66236"/>
    <w:rsid w:val="00F9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B63F73"/>
  <w15:chartTrackingRefBased/>
  <w15:docId w15:val="{D8AD7B98-2E74-4AEF-9ECF-D256E6121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60F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A60F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">
    <w:name w:val="table"/>
    <w:aliases w:val="t"/>
    <w:basedOn w:val="Normal"/>
    <w:qFormat/>
    <w:rsid w:val="00A60FF2"/>
    <w:pPr>
      <w:spacing w:before="80" w:after="80" w:line="280" w:lineRule="atLeast"/>
    </w:pPr>
    <w:rPr>
      <w:rFonts w:ascii="Times New Roman" w:eastAsia="Times New Roman" w:hAnsi="Times New Roman" w:cs="Times New Roman"/>
      <w:bCs/>
      <w:sz w:val="24"/>
      <w:szCs w:val="24"/>
      <w:lang w:val="en-GB" w:eastAsia="es-ES"/>
    </w:rPr>
  </w:style>
  <w:style w:type="paragraph" w:customStyle="1" w:styleId="tableheading">
    <w:name w:val="table heading"/>
    <w:aliases w:val="th"/>
    <w:basedOn w:val="table"/>
    <w:qFormat/>
    <w:rsid w:val="00A60FF2"/>
    <w:pPr>
      <w:keepNext/>
    </w:pPr>
    <w:rPr>
      <w:rFonts w:ascii="Tahoma" w:hAnsi="Tahoma"/>
      <w:b/>
      <w:color w:val="44546A" w:themeColor="text2"/>
      <w:sz w:val="20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7710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7710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DeVon Solomon</dc:creator>
  <cp:keywords/>
  <dc:description/>
  <cp:lastModifiedBy>Tristan Hale</cp:lastModifiedBy>
  <cp:revision>6</cp:revision>
  <dcterms:created xsi:type="dcterms:W3CDTF">2019-04-23T07:56:00Z</dcterms:created>
  <dcterms:modified xsi:type="dcterms:W3CDTF">2019-04-25T13:41:00Z</dcterms:modified>
</cp:coreProperties>
</file>